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C" w:rsidRDefault="0036796C" w:rsidP="0036796C">
      <w:pPr>
        <w:rPr>
          <w:color w:val="000000" w:themeColor="text1"/>
        </w:rPr>
      </w:pPr>
    </w:p>
    <w:p w:rsidR="0036796C" w:rsidRPr="006C3C9A" w:rsidRDefault="0036796C" w:rsidP="0036796C">
      <w:pPr>
        <w:jc w:val="right"/>
        <w:outlineLvl w:val="0"/>
        <w:rPr>
          <w:b/>
          <w:color w:val="3366FF"/>
          <w:sz w:val="20"/>
          <w:szCs w:val="20"/>
        </w:rPr>
      </w:pPr>
      <w:r w:rsidRPr="00E07F1B">
        <w:rPr>
          <w:color w:val="000000"/>
          <w:sz w:val="20"/>
          <w:szCs w:val="20"/>
          <w:shd w:val="clear" w:color="auto" w:fill="FFFFFF"/>
        </w:rPr>
        <w:t>УТВЕРЖДЕН</w:t>
      </w:r>
      <w:proofErr w:type="gramStart"/>
      <w:r>
        <w:rPr>
          <w:color w:val="000000"/>
          <w:sz w:val="20"/>
          <w:szCs w:val="20"/>
          <w:shd w:val="clear" w:color="auto" w:fill="FFFFFF"/>
        </w:rPr>
        <w:t>0</w:t>
      </w:r>
      <w:proofErr w:type="gramEnd"/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на заседании профсоюзного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комитета 1</w:t>
      </w:r>
      <w:r w:rsidRPr="0093788F">
        <w:rPr>
          <w:color w:val="000000"/>
          <w:sz w:val="20"/>
          <w:szCs w:val="20"/>
          <w:shd w:val="clear" w:color="auto" w:fill="FFFFFF"/>
        </w:rPr>
        <w:t>0</w:t>
      </w:r>
      <w:r w:rsidRPr="00E07F1B">
        <w:rPr>
          <w:color w:val="000000"/>
          <w:sz w:val="20"/>
          <w:szCs w:val="20"/>
          <w:shd w:val="clear" w:color="auto" w:fill="FFFFFF"/>
        </w:rPr>
        <w:t xml:space="preserve">.09.2012 г. № </w:t>
      </w:r>
      <w:r>
        <w:rPr>
          <w:color w:val="000000"/>
          <w:sz w:val="20"/>
          <w:szCs w:val="20"/>
          <w:shd w:val="clear" w:color="auto" w:fill="FFFFFF"/>
        </w:rPr>
        <w:t>8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6796C" w:rsidRPr="006C3C9A" w:rsidRDefault="0036796C" w:rsidP="0036796C">
      <w:pPr>
        <w:rPr>
          <w:b/>
          <w:i/>
        </w:rPr>
      </w:pPr>
    </w:p>
    <w:p w:rsidR="0036796C" w:rsidRPr="009C4C49" w:rsidRDefault="0036796C" w:rsidP="0036796C">
      <w:pPr>
        <w:jc w:val="center"/>
        <w:rPr>
          <w:b/>
          <w:i/>
          <w:color w:val="C00000"/>
        </w:rPr>
      </w:pPr>
    </w:p>
    <w:p w:rsidR="0036796C" w:rsidRPr="009C4C49" w:rsidRDefault="0036796C" w:rsidP="0036796C">
      <w:pPr>
        <w:jc w:val="center"/>
        <w:rPr>
          <w:color w:val="C00000"/>
        </w:rPr>
      </w:pPr>
      <w:r w:rsidRPr="009C4C49">
        <w:rPr>
          <w:b/>
          <w:i/>
          <w:color w:val="C00000"/>
        </w:rPr>
        <w:t>ПРОГРАММА</w:t>
      </w:r>
    </w:p>
    <w:p w:rsidR="0036796C" w:rsidRPr="009C4C49" w:rsidRDefault="0036796C" w:rsidP="0036796C">
      <w:pPr>
        <w:jc w:val="center"/>
        <w:rPr>
          <w:color w:val="C00000"/>
        </w:rPr>
      </w:pPr>
      <w:r w:rsidRPr="009C4C49">
        <w:rPr>
          <w:b/>
          <w:i/>
          <w:color w:val="C00000"/>
        </w:rPr>
        <w:t>ОРГАНИЗАЦИИ РАБОТЫ С МОЛОДЫМИ СПЕЦИАЛИСТАМИ</w:t>
      </w:r>
    </w:p>
    <w:tbl>
      <w:tblPr>
        <w:tblW w:w="5202" w:type="pct"/>
        <w:jc w:val="center"/>
        <w:tblCellSpacing w:w="22" w:type="dxa"/>
        <w:tblInd w:w="-383" w:type="dxa"/>
        <w:tblCellMar>
          <w:left w:w="0" w:type="dxa"/>
          <w:right w:w="0" w:type="dxa"/>
        </w:tblCellMar>
        <w:tblLook w:val="04A0"/>
      </w:tblPr>
      <w:tblGrid>
        <w:gridCol w:w="9824"/>
      </w:tblGrid>
      <w:tr w:rsidR="0036796C" w:rsidRPr="006C3C9A" w:rsidTr="004F5065">
        <w:trPr>
          <w:tblCellSpacing w:w="22" w:type="dxa"/>
          <w:jc w:val="center"/>
        </w:trPr>
        <w:tc>
          <w:tcPr>
            <w:tcW w:w="4955" w:type="pct"/>
            <w:shd w:val="clear" w:color="auto" w:fill="FBFBFB"/>
            <w:vAlign w:val="center"/>
            <w:hideMark/>
          </w:tcPr>
          <w:p w:rsidR="0036796C" w:rsidRPr="006C3C9A" w:rsidRDefault="0036796C" w:rsidP="004F5065">
            <w:r w:rsidRPr="006C3C9A">
              <w:br/>
            </w:r>
            <w:r w:rsidRPr="006C3C9A">
              <w:rPr>
                <w:b/>
                <w:bCs/>
                <w:i/>
                <w:u w:val="single"/>
              </w:rPr>
              <w:t>Общие положения</w:t>
            </w:r>
            <w:r w:rsidRPr="006C3C9A">
              <w:rPr>
                <w:b/>
                <w:i/>
                <w:u w:val="single"/>
              </w:rPr>
              <w:t xml:space="preserve"> </w:t>
            </w:r>
          </w:p>
          <w:p w:rsidR="0036796C" w:rsidRPr="006C3C9A" w:rsidRDefault="0036796C" w:rsidP="004F5065">
            <w:r w:rsidRPr="006C3C9A">
              <w:t>  Программа определяет основные направления работы с молодыми специалистами   и  распространяется на работающих в учреждениях образования молодых специалистов в возрасте до 35 лет.</w:t>
            </w:r>
            <w:r w:rsidRPr="006C3C9A">
              <w:br/>
            </w:r>
            <w:r w:rsidRPr="006C3C9A">
              <w:br/>
              <w:t xml:space="preserve">  </w:t>
            </w:r>
            <w:proofErr w:type="gramStart"/>
            <w:r w:rsidRPr="006C3C9A">
              <w:rPr>
                <w:b/>
                <w:bCs/>
                <w:i/>
                <w:u w:val="single"/>
              </w:rPr>
              <w:t>Цель программы</w:t>
            </w:r>
            <w:r w:rsidRPr="006C3C9A">
              <w:t xml:space="preserve"> - координация деятельности организации  Профсоюза работников народного образования и науки РФ,  ее членских организаций, государственных и общественных структур по защите профессиональных, трудовых и социально-экономических  прав молодых специалистов; привлечение их к активной профсоюзной деятельности, а также  содействие созданию условий для профессионального роста, реализации их творческого потенциала, адаптации в учреждениях образования,  повышения социального статуса молодого педагога.</w:t>
            </w:r>
            <w:proofErr w:type="gramEnd"/>
          </w:p>
          <w:p w:rsidR="0036796C" w:rsidRPr="006C3C9A" w:rsidRDefault="0036796C" w:rsidP="004F5065">
            <w:r w:rsidRPr="006C3C9A">
              <w:rPr>
                <w:b/>
                <w:bCs/>
                <w:i/>
                <w:u w:val="single"/>
              </w:rPr>
              <w:t xml:space="preserve">Основные направления </w:t>
            </w:r>
            <w:proofErr w:type="gramStart"/>
            <w:r w:rsidRPr="006C3C9A">
              <w:rPr>
                <w:b/>
                <w:bCs/>
                <w:i/>
                <w:u w:val="single"/>
              </w:rPr>
              <w:t xml:space="preserve">деятельности </w:t>
            </w:r>
            <w:r w:rsidRPr="006C3C9A">
              <w:rPr>
                <w:b/>
                <w:i/>
                <w:u w:val="single"/>
              </w:rPr>
              <w:t>организации  Профсоюза работников народного образования</w:t>
            </w:r>
            <w:proofErr w:type="gramEnd"/>
            <w:r w:rsidRPr="006C3C9A">
              <w:rPr>
                <w:b/>
                <w:i/>
                <w:u w:val="single"/>
              </w:rPr>
              <w:t xml:space="preserve"> и науки РФ</w:t>
            </w:r>
            <w:r w:rsidRPr="006C3C9A">
              <w:rPr>
                <w:b/>
                <w:bCs/>
                <w:i/>
                <w:u w:val="single"/>
              </w:rPr>
              <w:t xml:space="preserve"> в работе  с молодыми специалистами:</w:t>
            </w:r>
            <w:r w:rsidRPr="006C3C9A">
              <w:rPr>
                <w:b/>
                <w:i/>
                <w:u w:val="single"/>
              </w:rPr>
              <w:t xml:space="preserve"> 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r w:rsidRPr="006C3C9A">
              <w:rPr>
                <w:bCs/>
                <w:i/>
              </w:rPr>
              <w:t>координация деятельности первичных профсоюзных организаций по защите профессиональных, трудовых и социально-экономических интересов молодых специалистов;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r w:rsidRPr="006C3C9A">
              <w:rPr>
                <w:bCs/>
                <w:i/>
              </w:rPr>
              <w:t xml:space="preserve"> реализация мер социальной защиты  молодых специалистов  при заключении коллективных договоров и соглашений;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 xml:space="preserve">выявление молодых лидеров и поддержка инициативы  талантливых и творческих молодых педагогов; 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изучение, пропаганда передового опыта и организация совместной работы с  Советами молодых учителей и другими молодежными  объединениями;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r w:rsidRPr="006C3C9A">
              <w:rPr>
                <w:bCs/>
                <w:i/>
              </w:rPr>
              <w:t>анализ членства молодых специалистов в профсоюзе и развитие мотивации вступления в профсоюз и участия в профсоюзной работе;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 xml:space="preserve"> привлечение молодых специалистов к участию в разработке законодательных и других нормативных актов, затрагивающих интересы  молодежи, в том числе в образовании;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обучение и подготовка резерва на выборный профсоюзный актив всех уровней из числа молодых специалистов;</w:t>
            </w:r>
          </w:p>
          <w:p w:rsidR="0036796C" w:rsidRPr="006C3C9A" w:rsidRDefault="0036796C" w:rsidP="0036796C">
            <w:pPr>
              <w:numPr>
                <w:ilvl w:val="0"/>
                <w:numId w:val="2"/>
              </w:numPr>
              <w:tabs>
                <w:tab w:val="num" w:pos="90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проведение социологических исследований и мониторингов по проблемам молодых специалистов;</w:t>
            </w:r>
          </w:p>
          <w:p w:rsidR="0036796C" w:rsidRPr="006C3C9A" w:rsidRDefault="0036796C" w:rsidP="004F5065">
            <w:pPr>
              <w:ind w:left="540" w:hanging="540"/>
            </w:pPr>
            <w:r w:rsidRPr="006C3C9A">
              <w:rPr>
                <w:b/>
                <w:bCs/>
                <w:i/>
                <w:u w:val="single"/>
              </w:rPr>
              <w:t>Организационное обеспечение программы: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создание и организация работы молодежной профсоюзной секции;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организация информационной работы с молодежью;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обсуждение вопросов работы с молодыми специалистами  на различных уровнях;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организация  профсоюзных действий с целью поддержки молодежных инициатив  и защиты прав молодых педагогов;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 xml:space="preserve">введение гарантированного представительства молодых специалистов в выборных </w:t>
            </w:r>
            <w:r w:rsidRPr="006C3C9A">
              <w:rPr>
                <w:bCs/>
                <w:i/>
              </w:rPr>
              <w:lastRenderedPageBreak/>
              <w:t>профсоюзных  органах;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изучение, анализ и обобщение различных  проблем  молодых педагогов, создание социального паспорта;</w:t>
            </w:r>
          </w:p>
          <w:p w:rsidR="0036796C" w:rsidRPr="006C3C9A" w:rsidRDefault="0036796C" w:rsidP="0036796C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разработка и принятие специальных программ по особо актуальным социально-трудовым проблемам молодых специалистов, участие в молодежных конкурсах.</w:t>
            </w:r>
          </w:p>
          <w:p w:rsidR="0036796C" w:rsidRPr="006C3C9A" w:rsidRDefault="0036796C" w:rsidP="004F5065">
            <w:r w:rsidRPr="006C3C9A">
              <w:rPr>
                <w:b/>
                <w:bCs/>
                <w:i/>
                <w:u w:val="single"/>
              </w:rPr>
              <w:t>Финансирование программы:</w:t>
            </w:r>
          </w:p>
          <w:p w:rsidR="0036796C" w:rsidRPr="006C3C9A" w:rsidRDefault="0036796C" w:rsidP="0036796C">
            <w:pPr>
              <w:numPr>
                <w:ilvl w:val="0"/>
                <w:numId w:val="4"/>
              </w:numPr>
              <w:tabs>
                <w:tab w:val="num" w:pos="720"/>
                <w:tab w:val="num" w:pos="788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выделение целевых финансовых средств из профсоюзного бюджета на проведение мероприятий для молодых педагогов.</w:t>
            </w:r>
          </w:p>
          <w:p w:rsidR="0036796C" w:rsidRPr="006C3C9A" w:rsidRDefault="0036796C" w:rsidP="004F5065">
            <w:r w:rsidRPr="006C3C9A">
              <w:rPr>
                <w:b/>
                <w:bCs/>
              </w:rPr>
              <w:t xml:space="preserve">  </w:t>
            </w:r>
            <w:r w:rsidRPr="006C3C9A">
              <w:rPr>
                <w:b/>
                <w:bCs/>
                <w:i/>
                <w:u w:val="single"/>
              </w:rPr>
              <w:t xml:space="preserve">Ожидаемые конечные результаты: 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r w:rsidRPr="006C3C9A">
              <w:rPr>
                <w:bCs/>
                <w:i/>
              </w:rPr>
              <w:t>повышение мотивации вступления в профсоюз молодых специалистов;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укрепление профсоюза активными молодыми кадрами;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формирование новых подходов к деятельности профсоюзных организаций по работе с молодыми специалистами;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повышение активности молодых кадров в обсуждении, реализации и отстаивании профессиональных и социально-трудовых прав молодых педагогов;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proofErr w:type="spellStart"/>
            <w:r w:rsidRPr="006C3C9A">
              <w:rPr>
                <w:bCs/>
                <w:i/>
              </w:rPr>
              <w:t>сформированность</w:t>
            </w:r>
            <w:proofErr w:type="spellEnd"/>
            <w:r w:rsidRPr="006C3C9A">
              <w:rPr>
                <w:bCs/>
                <w:i/>
              </w:rPr>
              <w:t xml:space="preserve"> молодежного профсоюзного актива;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rFonts w:eastAsia="Wingdings"/>
                <w:bCs/>
              </w:rPr>
              <w:t xml:space="preserve"> </w:t>
            </w:r>
            <w:r w:rsidRPr="006C3C9A">
              <w:rPr>
                <w:bCs/>
                <w:i/>
              </w:rPr>
              <w:t>наличие  кадрового резерва на выборный профсоюзный актив всех уровней;</w:t>
            </w:r>
          </w:p>
          <w:p w:rsidR="0036796C" w:rsidRPr="006C3C9A" w:rsidRDefault="0036796C" w:rsidP="0036796C">
            <w:pPr>
              <w:numPr>
                <w:ilvl w:val="0"/>
                <w:numId w:val="5"/>
              </w:numPr>
              <w:tabs>
                <w:tab w:val="num" w:pos="1118"/>
              </w:tabs>
              <w:spacing w:after="200" w:line="276" w:lineRule="auto"/>
              <w:contextualSpacing/>
            </w:pPr>
            <w:r w:rsidRPr="006C3C9A">
              <w:rPr>
                <w:bCs/>
                <w:i/>
              </w:rPr>
              <w:t>закрепление молодых специалистов в учреждениях образования;</w:t>
            </w:r>
          </w:p>
          <w:p w:rsidR="0036796C" w:rsidRPr="006C3C9A" w:rsidRDefault="0036796C" w:rsidP="004F5065"/>
        </w:tc>
      </w:tr>
    </w:tbl>
    <w:p w:rsidR="0036796C" w:rsidRDefault="0036796C" w:rsidP="0036796C">
      <w:pPr>
        <w:rPr>
          <w:color w:val="000000" w:themeColor="text1"/>
        </w:rPr>
      </w:pPr>
    </w:p>
    <w:p w:rsidR="00AC50D3" w:rsidRPr="0036796C" w:rsidRDefault="00AC50D3" w:rsidP="0036796C"/>
    <w:sectPr w:rsidR="00AC50D3" w:rsidRPr="0036796C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DC6"/>
    <w:multiLevelType w:val="hybridMultilevel"/>
    <w:tmpl w:val="3632A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DC417F"/>
    <w:multiLevelType w:val="hybridMultilevel"/>
    <w:tmpl w:val="B544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7EEC"/>
    <w:multiLevelType w:val="hybridMultilevel"/>
    <w:tmpl w:val="E0DC044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60C06862"/>
    <w:multiLevelType w:val="hybridMultilevel"/>
    <w:tmpl w:val="6578021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F581ACA"/>
    <w:multiLevelType w:val="hybridMultilevel"/>
    <w:tmpl w:val="C24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FDC"/>
    <w:rsid w:val="0036796C"/>
    <w:rsid w:val="00AC50D3"/>
    <w:rsid w:val="00C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2018-01-22T11:46:00Z</dcterms:created>
  <dcterms:modified xsi:type="dcterms:W3CDTF">2018-01-22T11:46:00Z</dcterms:modified>
</cp:coreProperties>
</file>